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868D" w14:textId="77777777" w:rsidR="00BB25B6" w:rsidRPr="003F135E" w:rsidRDefault="004F0429" w:rsidP="00BB25B6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NT3 Pauline 1, Romans</w:t>
      </w:r>
    </w:p>
    <w:p w14:paraId="5B19B8F2" w14:textId="77777777" w:rsidR="00BB25B6" w:rsidRPr="003F135E" w:rsidRDefault="00BB25B6" w:rsidP="00BB25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Dr. Marvin J. Effa</w:t>
      </w:r>
    </w:p>
    <w:p w14:paraId="04D90125" w14:textId="77777777"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15430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B94F3F">
        <w:rPr>
          <w:rFonts w:ascii="Times New Roman" w:hAnsi="Times New Roman" w:cs="Times New Roman"/>
          <w:sz w:val="24"/>
          <w:szCs w:val="24"/>
        </w:rPr>
        <w:t>Paul</w:t>
      </w:r>
    </w:p>
    <w:p w14:paraId="140DAB21" w14:textId="77777777" w:rsidR="00154304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154304" w:rsidRPr="003F135E">
        <w:rPr>
          <w:rFonts w:ascii="Times New Roman" w:hAnsi="Times New Roman" w:cs="Times New Roman"/>
          <w:b/>
          <w:sz w:val="24"/>
          <w:szCs w:val="24"/>
        </w:rPr>
        <w:t>:</w:t>
      </w:r>
      <w:r w:rsidR="00A6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45" w:rsidRPr="00A60845">
        <w:rPr>
          <w:rFonts w:ascii="Times New Roman" w:hAnsi="Times New Roman" w:cs="Times New Roman"/>
          <w:sz w:val="24"/>
          <w:szCs w:val="24"/>
        </w:rPr>
        <w:t>57</w:t>
      </w:r>
      <w:r w:rsidR="00A60845">
        <w:rPr>
          <w:rFonts w:ascii="Times New Roman" w:hAnsi="Times New Roman" w:cs="Times New Roman"/>
          <w:sz w:val="24"/>
          <w:szCs w:val="24"/>
        </w:rPr>
        <w:t>-58</w:t>
      </w:r>
      <w:r w:rsidR="00A60845" w:rsidRPr="00A60845">
        <w:rPr>
          <w:rFonts w:ascii="Times New Roman" w:hAnsi="Times New Roman" w:cs="Times New Roman"/>
          <w:sz w:val="24"/>
          <w:szCs w:val="24"/>
        </w:rPr>
        <w:t xml:space="preserve"> A</w:t>
      </w:r>
      <w:r w:rsidR="00A60845">
        <w:rPr>
          <w:rFonts w:ascii="Times New Roman" w:hAnsi="Times New Roman" w:cs="Times New Roman"/>
          <w:sz w:val="24"/>
          <w:szCs w:val="24"/>
        </w:rPr>
        <w:t>.</w:t>
      </w:r>
      <w:r w:rsidR="00A60845" w:rsidRPr="00A60845">
        <w:rPr>
          <w:rFonts w:ascii="Times New Roman" w:hAnsi="Times New Roman" w:cs="Times New Roman"/>
          <w:sz w:val="24"/>
          <w:szCs w:val="24"/>
        </w:rPr>
        <w:t>D</w:t>
      </w:r>
      <w:r w:rsidR="00A60845">
        <w:rPr>
          <w:rFonts w:ascii="Times New Roman" w:hAnsi="Times New Roman" w:cs="Times New Roman"/>
          <w:sz w:val="24"/>
          <w:szCs w:val="24"/>
        </w:rPr>
        <w:t>.</w:t>
      </w:r>
      <w:r w:rsidR="00154304" w:rsidRPr="00A60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ADDCA" w14:textId="77777777" w:rsidR="00A60845" w:rsidRPr="003F135E" w:rsidRDefault="00A60845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BAB36C8" wp14:editId="326178E3">
            <wp:extent cx="5943600" cy="1833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6F30" w14:textId="4CB68B5F"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B94F3F">
        <w:rPr>
          <w:rFonts w:ascii="Times New Roman" w:hAnsi="Times New Roman" w:cs="Times New Roman"/>
          <w:sz w:val="24"/>
          <w:szCs w:val="24"/>
        </w:rPr>
        <w:t>to provide a comprehensive statement of Paul’s theology as he prepares for a new work in Spain.</w:t>
      </w:r>
    </w:p>
    <w:p w14:paraId="120DA65D" w14:textId="77777777" w:rsidR="0023185D" w:rsidRPr="003F135E" w:rsidRDefault="0023185D" w:rsidP="00BB2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5785B" w14:textId="77777777"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90A6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B94F3F">
        <w:rPr>
          <w:rFonts w:ascii="Times New Roman" w:hAnsi="Times New Roman" w:cs="Times New Roman"/>
          <w:sz w:val="24"/>
          <w:szCs w:val="24"/>
        </w:rPr>
        <w:t>God’s righteousness provided by faith through the work of Christ allows the Spirit to empower us to live lives pleasing to God and worthy of reward.</w:t>
      </w:r>
    </w:p>
    <w:p w14:paraId="3596EE89" w14:textId="77777777" w:rsidR="004F033A" w:rsidRPr="003F135E" w:rsidRDefault="004F033A" w:rsidP="00BB2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9CF70" w14:textId="77777777" w:rsidR="004F0429" w:rsidRDefault="00BB25B6" w:rsidP="000E4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14:paraId="7CA806E7" w14:textId="77777777" w:rsidR="004F0429" w:rsidRPr="00941AC8" w:rsidRDefault="004F0429" w:rsidP="004F0429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748B399" w14:textId="1425004E" w:rsidR="00953065" w:rsidRPr="00953065" w:rsidRDefault="00D64ABE" w:rsidP="00953065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 w:rsidRPr="00953065">
        <w:rPr>
          <w:rFonts w:asciiTheme="majorBidi" w:hAnsiTheme="majorBidi" w:cstheme="majorBidi"/>
        </w:rPr>
        <w:t>Introduction to the letter</w:t>
      </w:r>
      <w:r w:rsidR="004F0429" w:rsidRPr="00953065">
        <w:rPr>
          <w:rFonts w:asciiTheme="majorBidi" w:hAnsiTheme="majorBidi" w:cstheme="majorBidi"/>
        </w:rPr>
        <w:t xml:space="preserve">: </w:t>
      </w:r>
      <w:r w:rsidR="00953065" w:rsidRPr="00953065">
        <w:rPr>
          <w:rFonts w:asciiTheme="majorBidi" w:hAnsiTheme="majorBidi" w:cstheme="majorBidi"/>
        </w:rPr>
        <w:t>Paul is eager to preach the Gospel in Rome, 1:1-15.</w:t>
      </w:r>
    </w:p>
    <w:p w14:paraId="4252F6EC" w14:textId="1C2668AD" w:rsidR="00953065" w:rsidRDefault="00953065" w:rsidP="00953065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God will accurately judge everyone, 1:16-3:20.</w:t>
      </w:r>
    </w:p>
    <w:p w14:paraId="088A7F8E" w14:textId="710C3962" w:rsidR="00953065" w:rsidRDefault="00953065" w:rsidP="0095306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benefits of God’s righteousness are experienced through believing the Gospel and walking by faith, 1:16-17.</w:t>
      </w:r>
      <w:r w:rsidRPr="0095306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941AC8">
        <w:rPr>
          <w:rFonts w:asciiTheme="majorBidi" w:hAnsiTheme="majorBidi" w:cstheme="majorBidi"/>
        </w:rPr>
        <w:t xml:space="preserve">The Gospel uncovers </w:t>
      </w:r>
      <w:r w:rsidR="00C6477C">
        <w:rPr>
          <w:rFonts w:asciiTheme="majorBidi" w:hAnsiTheme="majorBidi" w:cstheme="majorBidi"/>
        </w:rPr>
        <w:t>[</w:t>
      </w:r>
      <w:r w:rsidRPr="00941AC8">
        <w:rPr>
          <w:rFonts w:asciiTheme="majorBidi" w:hAnsiTheme="majorBidi" w:cstheme="majorBidi"/>
        </w:rPr>
        <w:t xml:space="preserve">(reveals, makes known </w:t>
      </w:r>
      <w:r w:rsidR="00C6477C">
        <w:rPr>
          <w:rFonts w:asciiTheme="majorBidi" w:hAnsiTheme="majorBidi" w:cstheme="majorBidi"/>
        </w:rPr>
        <w:t>“</w:t>
      </w:r>
      <w:proofErr w:type="spellStart"/>
      <w:r w:rsidRPr="00941AC8">
        <w:rPr>
          <w:rFonts w:asciiTheme="majorBidi" w:hAnsiTheme="majorBidi" w:cstheme="majorBidi"/>
        </w:rPr>
        <w:t>apokalupetai</w:t>
      </w:r>
      <w:proofErr w:type="spellEnd"/>
      <w:r w:rsidR="00C6477C">
        <w:rPr>
          <w:rFonts w:asciiTheme="majorBidi" w:hAnsiTheme="majorBidi" w:cstheme="majorBidi"/>
        </w:rPr>
        <w:t>”</w:t>
      </w:r>
      <w:r w:rsidRPr="00941AC8">
        <w:rPr>
          <w:rFonts w:asciiTheme="majorBidi" w:hAnsiTheme="majorBidi" w:cstheme="majorBidi"/>
        </w:rPr>
        <w:t>) God’s righteousness to those who believe in Jesus and walk by faith</w:t>
      </w:r>
      <w:r>
        <w:rPr>
          <w:rFonts w:asciiTheme="majorBidi" w:hAnsiTheme="majorBidi" w:cstheme="majorBidi"/>
        </w:rPr>
        <w:t>.</w:t>
      </w:r>
      <w:r w:rsidR="00C6477C">
        <w:rPr>
          <w:rFonts w:asciiTheme="majorBidi" w:hAnsiTheme="majorBidi" w:cstheme="majorBidi"/>
        </w:rPr>
        <w:t>]</w:t>
      </w:r>
    </w:p>
    <w:p w14:paraId="365A8D7F" w14:textId="3E7C5AF6" w:rsidR="00953065" w:rsidRDefault="00953065" w:rsidP="0095306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God’s judgment is right because everyone knows better, 1:18-3:20.</w:t>
      </w:r>
    </w:p>
    <w:p w14:paraId="43BA757F" w14:textId="6A17D3A0" w:rsidR="00953065" w:rsidRDefault="00953065" w:rsidP="00953065">
      <w:pPr>
        <w:pStyle w:val="ListParagraph"/>
        <w:numPr>
          <w:ilvl w:val="2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Knowledge from creation, 1:20-32.</w:t>
      </w:r>
    </w:p>
    <w:p w14:paraId="1E195289" w14:textId="73F8C81B" w:rsidR="00953065" w:rsidRDefault="00953065" w:rsidP="00953065">
      <w:pPr>
        <w:pStyle w:val="ListParagraph"/>
        <w:numPr>
          <w:ilvl w:val="2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Knowledge from conscience, 2:1-5.</w:t>
      </w:r>
    </w:p>
    <w:p w14:paraId="2A21AACC" w14:textId="7BE59BC9" w:rsidR="00953065" w:rsidRDefault="000B228D" w:rsidP="00953065">
      <w:pPr>
        <w:spacing w:line="240" w:lineRule="auto"/>
        <w:ind w:left="-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[Theme</w:t>
      </w:r>
      <w:r w:rsidR="00C6477C">
        <w:rPr>
          <w:rFonts w:asciiTheme="majorBidi" w:hAnsiTheme="majorBidi" w:cstheme="majorBidi"/>
        </w:rPr>
        <w:t xml:space="preserve"> of Romans</w:t>
      </w:r>
      <w:r>
        <w:rPr>
          <w:rFonts w:asciiTheme="majorBidi" w:hAnsiTheme="majorBidi" w:cstheme="majorBidi"/>
        </w:rPr>
        <w:t>: God rewards those who do good and punishes those who do evil, 2:6-11.</w:t>
      </w:r>
      <w:r w:rsidR="00C75005">
        <w:rPr>
          <w:rFonts w:asciiTheme="majorBidi" w:hAnsiTheme="majorBidi" w:cstheme="majorBidi"/>
        </w:rPr>
        <w:t xml:space="preserve"> (Everlasting life is a reward in Romans.)</w:t>
      </w:r>
      <w:r>
        <w:rPr>
          <w:rFonts w:asciiTheme="majorBidi" w:hAnsiTheme="majorBidi" w:cstheme="majorBidi"/>
        </w:rPr>
        <w:t>]</w:t>
      </w:r>
    </w:p>
    <w:p w14:paraId="1DB61453" w14:textId="0644A19B" w:rsidR="000B228D" w:rsidRDefault="000B228D" w:rsidP="000B228D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Jewish unbelievers do not escape God’s judgement on the world, 2:12-3:8.</w:t>
      </w:r>
    </w:p>
    <w:p w14:paraId="11F862FF" w14:textId="51656309" w:rsidR="000B228D" w:rsidRDefault="000B228D" w:rsidP="000B228D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Everyone who does not believe and walk by faith is guilty, 3:9-20.</w:t>
      </w:r>
    </w:p>
    <w:p w14:paraId="39953307" w14:textId="3A934337" w:rsidR="000B228D" w:rsidRDefault="000B228D" w:rsidP="000B228D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God’s righteousness is freely given to both Jew and Gentile by faith in Christ’s blood, 3:21-31.</w:t>
      </w:r>
      <w:r w:rsidRPr="000B228D">
        <w:rPr>
          <w:rFonts w:asciiTheme="majorBidi" w:hAnsiTheme="majorBidi" w:cstheme="majorBidi"/>
        </w:rPr>
        <w:t xml:space="preserve"> </w:t>
      </w:r>
      <w:r w:rsidR="00C75005">
        <w:rPr>
          <w:rFonts w:asciiTheme="majorBidi" w:hAnsiTheme="majorBidi" w:cstheme="majorBidi"/>
        </w:rPr>
        <w:t>(</w:t>
      </w:r>
      <w:r w:rsidRPr="00846AC7">
        <w:rPr>
          <w:rFonts w:asciiTheme="majorBidi" w:hAnsiTheme="majorBidi" w:cstheme="majorBidi"/>
        </w:rPr>
        <w:t xml:space="preserve">“Has been revealed” is a different word than in 1:17 &amp; 18; here the word is </w:t>
      </w:r>
      <w:r w:rsidR="00C6477C">
        <w:rPr>
          <w:rFonts w:asciiTheme="majorBidi" w:hAnsiTheme="majorBidi" w:cstheme="majorBidi"/>
        </w:rPr>
        <w:t>“</w:t>
      </w:r>
      <w:proofErr w:type="spellStart"/>
      <w:r w:rsidRPr="00846AC7">
        <w:rPr>
          <w:rFonts w:asciiTheme="majorBidi" w:hAnsiTheme="majorBidi" w:cstheme="majorBidi"/>
        </w:rPr>
        <w:t>pephanerotai</w:t>
      </w:r>
      <w:proofErr w:type="spellEnd"/>
      <w:r w:rsidR="00C6477C">
        <w:rPr>
          <w:rFonts w:asciiTheme="majorBidi" w:hAnsiTheme="majorBidi" w:cstheme="majorBidi"/>
        </w:rPr>
        <w:t>”</w:t>
      </w:r>
      <w:r w:rsidRPr="00846AC7">
        <w:rPr>
          <w:rFonts w:asciiTheme="majorBidi" w:hAnsiTheme="majorBidi" w:cstheme="majorBidi"/>
        </w:rPr>
        <w:t>- Perfect, Passive Indicative 3S</w:t>
      </w:r>
      <w:r w:rsidR="00C6477C">
        <w:rPr>
          <w:rFonts w:asciiTheme="majorBidi" w:hAnsiTheme="majorBidi" w:cstheme="majorBidi"/>
        </w:rPr>
        <w:t>;</w:t>
      </w:r>
      <w:r w:rsidRPr="00846AC7">
        <w:rPr>
          <w:rFonts w:asciiTheme="majorBidi" w:hAnsiTheme="majorBidi" w:cstheme="majorBidi"/>
        </w:rPr>
        <w:t xml:space="preserve"> it means to make clear, manifest, open, conspicuous, visible, etc.</w:t>
      </w:r>
      <w:r w:rsidR="00C75005">
        <w:rPr>
          <w:rFonts w:asciiTheme="majorBidi" w:hAnsiTheme="majorBidi" w:cstheme="majorBidi"/>
        </w:rPr>
        <w:t>)</w:t>
      </w:r>
    </w:p>
    <w:p w14:paraId="47C6FDFC" w14:textId="1B084480" w:rsidR="000B228D" w:rsidRDefault="00C75005" w:rsidP="000B228D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Abraham is proof that righteousness comes by believing and walking by faith, 4:1-25.</w:t>
      </w:r>
    </w:p>
    <w:p w14:paraId="2738983A" w14:textId="795CBA26" w:rsidR="00C75005" w:rsidRDefault="00C75005" w:rsidP="00C7500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Unbelieving, ungodly, uncircumcised Abraham believed and was declared righteous, 4:1-5.</w:t>
      </w:r>
    </w:p>
    <w:p w14:paraId="755E3EC2" w14:textId="3E865725" w:rsidR="00C75005" w:rsidRDefault="00C75005" w:rsidP="00C7500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David, a believing king, a prophet, and a Jew</w:t>
      </w:r>
      <w:r w:rsidR="00C6477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was reckoned righteous apart from works, 4:6-8.</w:t>
      </w:r>
    </w:p>
    <w:p w14:paraId="7387C4BE" w14:textId="15487C2E" w:rsidR="00C75005" w:rsidRDefault="00C75005" w:rsidP="00C7500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Abraham’s experience with righteousness was a model for both Jew and Gentile to believe and walk by faith, 4:9-12</w:t>
      </w:r>
    </w:p>
    <w:p w14:paraId="18D0A4DD" w14:textId="42C9FFD5" w:rsidR="00C75005" w:rsidRDefault="00C75005" w:rsidP="00C7500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promise of reward comes to both Jew</w:t>
      </w:r>
      <w:r w:rsidR="00C6477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and Gentiles through faith and not works, 4:13-17a.</w:t>
      </w:r>
    </w:p>
    <w:p w14:paraId="267B6EFE" w14:textId="64A74CDA" w:rsidR="00C75005" w:rsidRDefault="00C75005" w:rsidP="00C7500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Abraham proves believing and walking by faith actually results in righteous</w:t>
      </w:r>
      <w:r w:rsidR="00975858">
        <w:rPr>
          <w:rFonts w:asciiTheme="majorBidi" w:hAnsiTheme="majorBidi" w:cstheme="majorBidi"/>
        </w:rPr>
        <w:t xml:space="preserve"> living, 4:17b-22.</w:t>
      </w:r>
    </w:p>
    <w:p w14:paraId="013C3A70" w14:textId="5A685C9A" w:rsidR="00975858" w:rsidRDefault="00975858" w:rsidP="00C75005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Jesus rose from the dead to provide reckoned righteousness to ungodly people who believe and as believers</w:t>
      </w:r>
      <w:r w:rsidR="00C6477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walk by faith, 4:23-25.</w:t>
      </w:r>
    </w:p>
    <w:p w14:paraId="593FE5B7" w14:textId="70B5720F" w:rsidR="00975858" w:rsidRDefault="00975858" w:rsidP="00975858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believers walking by faith, we can boast, 5:1-11</w:t>
      </w:r>
      <w:r w:rsidR="00C6477C">
        <w:rPr>
          <w:rFonts w:asciiTheme="majorBidi" w:hAnsiTheme="majorBidi" w:cstheme="majorBidi"/>
        </w:rPr>
        <w:t>:</w:t>
      </w:r>
    </w:p>
    <w:p w14:paraId="361560D2" w14:textId="5160B74C" w:rsidR="00975858" w:rsidRDefault="00975858" w:rsidP="00975858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 a future glory that comes from God, 5:1-2 (NB “glory” reference to 2:6-11).</w:t>
      </w:r>
    </w:p>
    <w:p w14:paraId="5FF98B77" w14:textId="3296756B" w:rsidR="00975858" w:rsidRDefault="00975858" w:rsidP="00975858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our current troubles</w:t>
      </w:r>
      <w:r w:rsidR="00C6477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because the indwelling Spirit pours on us the resurrected Christ’s love and future deliverance from wrath, 5:3-10 (NB “wrath” reference to 2:6-11).</w:t>
      </w:r>
    </w:p>
    <w:p w14:paraId="4174783D" w14:textId="13350AFA" w:rsidR="00975858" w:rsidRDefault="00975858" w:rsidP="00975858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God because of Christ’s reconciling work, 5:11.</w:t>
      </w:r>
    </w:p>
    <w:p w14:paraId="74F2D1B0" w14:textId="497CD7A8" w:rsidR="00975858" w:rsidRDefault="00975858" w:rsidP="00975858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Adam brought the reign of death on the entire race, those believing and walking by faith are receiving righteousness and will reign in life </w:t>
      </w:r>
      <w:r w:rsidR="00C6477C">
        <w:rPr>
          <w:rFonts w:asciiTheme="majorBidi" w:hAnsiTheme="majorBidi" w:cstheme="majorBidi"/>
        </w:rPr>
        <w:t>so that we</w:t>
      </w:r>
      <w:r>
        <w:rPr>
          <w:rFonts w:asciiTheme="majorBidi" w:hAnsiTheme="majorBidi" w:cstheme="majorBidi"/>
        </w:rPr>
        <w:t xml:space="preserve"> are rewarded with everlasting life, 5:12-21 (NB “everlasting life” reference to 2:6-11).</w:t>
      </w:r>
    </w:p>
    <w:p w14:paraId="53EC0715" w14:textId="0ED02A89" w:rsidR="00975858" w:rsidRDefault="00975858" w:rsidP="00975858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Grace should motivate us unto righteousness, not sin, 6:1-14.</w:t>
      </w:r>
    </w:p>
    <w:p w14:paraId="62FC7CF2" w14:textId="556A2970" w:rsidR="00975858" w:rsidRDefault="00975858" w:rsidP="00975858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Grace frees us from the law and should motivate us unto holy living</w:t>
      </w:r>
      <w:r w:rsidR="00C6477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which receives the reward of everlasting life, 6:15-7:6 (NB “everlasting life” reference to 2:6-11).</w:t>
      </w:r>
    </w:p>
    <w:p w14:paraId="37E2B483" w14:textId="5D0C5F6D" w:rsidR="00975858" w:rsidRDefault="00975858" w:rsidP="00975858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law identifies and incites indwelling sin; the unaided believer practices sin, not holiness, 7:7-25.</w:t>
      </w:r>
    </w:p>
    <w:p w14:paraId="3EB5D248" w14:textId="0C5B2123" w:rsidR="00975858" w:rsidRDefault="00975858" w:rsidP="00975858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indwelling Spirit </w:t>
      </w:r>
      <w:r w:rsidR="006F5034">
        <w:rPr>
          <w:rFonts w:asciiTheme="majorBidi" w:hAnsiTheme="majorBidi" w:cstheme="majorBidi"/>
        </w:rPr>
        <w:t xml:space="preserve">desires to </w:t>
      </w:r>
      <w:r>
        <w:rPr>
          <w:rFonts w:asciiTheme="majorBidi" w:hAnsiTheme="majorBidi" w:cstheme="majorBidi"/>
        </w:rPr>
        <w:t>empower believers to walk righteously, 8:1-11.</w:t>
      </w:r>
    </w:p>
    <w:p w14:paraId="73DDC2B0" w14:textId="77777777" w:rsidR="006F5034" w:rsidRPr="005D661C" w:rsidRDefault="006F5034" w:rsidP="006F5034">
      <w:pPr>
        <w:pStyle w:val="ListParagraph"/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5D661C">
        <w:rPr>
          <w:rFonts w:asciiTheme="majorBidi" w:hAnsiTheme="majorBidi" w:cstheme="majorBidi"/>
        </w:rPr>
        <w:t xml:space="preserve">The Gentiles’ </w:t>
      </w:r>
      <w:r>
        <w:rPr>
          <w:rFonts w:asciiTheme="majorBidi" w:hAnsiTheme="majorBidi" w:cstheme="majorBidi"/>
        </w:rPr>
        <w:t xml:space="preserve">rewards and </w:t>
      </w:r>
      <w:r w:rsidRPr="005D661C">
        <w:rPr>
          <w:rFonts w:asciiTheme="majorBidi" w:hAnsiTheme="majorBidi" w:cstheme="majorBidi"/>
        </w:rPr>
        <w:t>participation in the millennium does not mean Israel has been cast off, 8:12-11:3</w:t>
      </w:r>
      <w:r>
        <w:rPr>
          <w:rFonts w:asciiTheme="majorBidi" w:hAnsiTheme="majorBidi" w:cstheme="majorBidi"/>
        </w:rPr>
        <w:t>6</w:t>
      </w:r>
      <w:r w:rsidRPr="005D661C">
        <w:rPr>
          <w:rFonts w:asciiTheme="majorBidi" w:hAnsiTheme="majorBidi" w:cstheme="majorBidi"/>
        </w:rPr>
        <w:t>.</w:t>
      </w:r>
    </w:p>
    <w:p w14:paraId="3CE0CF09" w14:textId="468C9CCB" w:rsidR="00975858" w:rsidRDefault="00975858" w:rsidP="006F5034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Spirit </w:t>
      </w:r>
      <w:r w:rsidR="006F5034">
        <w:rPr>
          <w:rFonts w:asciiTheme="majorBidi" w:hAnsiTheme="majorBidi" w:cstheme="majorBidi"/>
        </w:rPr>
        <w:t xml:space="preserve">wishes to </w:t>
      </w:r>
      <w:r>
        <w:rPr>
          <w:rFonts w:asciiTheme="majorBidi" w:hAnsiTheme="majorBidi" w:cstheme="majorBidi"/>
        </w:rPr>
        <w:t>lead believers out of judgement</w:t>
      </w:r>
      <w:r w:rsidR="006F5034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into reward</w:t>
      </w:r>
      <w:r w:rsidR="006F5034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as we suffer with Christ</w:t>
      </w:r>
      <w:r w:rsidR="006F5034">
        <w:rPr>
          <w:rFonts w:asciiTheme="majorBidi" w:hAnsiTheme="majorBidi" w:cstheme="majorBidi"/>
        </w:rPr>
        <w:t>, 8:12-17.</w:t>
      </w:r>
    </w:p>
    <w:p w14:paraId="5090BDC9" w14:textId="1D82D75F" w:rsidR="006F5034" w:rsidRDefault="006F5034" w:rsidP="006F5034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Suffering with Christ now is insignificant when compared to the future glory in eternity 8:18-30 (NB “glory” reference to 2:6-11).</w:t>
      </w:r>
    </w:p>
    <w:p w14:paraId="3F8D0DAF" w14:textId="7E95E352" w:rsidR="006F5034" w:rsidRDefault="006F5034" w:rsidP="006F5034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Unbelieving Jews are offended by faith in Jesus, 9:1-33.</w:t>
      </w:r>
    </w:p>
    <w:p w14:paraId="10DF549E" w14:textId="1A7C44AF" w:rsidR="006F5034" w:rsidRDefault="006F5034" w:rsidP="006F5034">
      <w:pPr>
        <w:pStyle w:val="ListParagraph"/>
        <w:numPr>
          <w:ilvl w:val="2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Paul is grieved over Israel’s unbelief, 9:1-5.</w:t>
      </w:r>
    </w:p>
    <w:p w14:paraId="2C639F7A" w14:textId="5FC7FEEE" w:rsidR="006F5034" w:rsidRDefault="006F5034" w:rsidP="006F5034">
      <w:pPr>
        <w:pStyle w:val="ListParagraph"/>
        <w:numPr>
          <w:ilvl w:val="2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God is free to show mercy on </w:t>
      </w:r>
      <w:r w:rsidR="00C6477C">
        <w:rPr>
          <w:rFonts w:asciiTheme="majorBidi" w:hAnsiTheme="majorBidi" w:cstheme="majorBidi"/>
        </w:rPr>
        <w:t>Israel</w:t>
      </w:r>
      <w:r>
        <w:rPr>
          <w:rFonts w:asciiTheme="majorBidi" w:hAnsiTheme="majorBidi" w:cstheme="majorBidi"/>
        </w:rPr>
        <w:t xml:space="preserve"> and Gentile nations and individuals, 9:6-24.</w:t>
      </w:r>
    </w:p>
    <w:p w14:paraId="1E493054" w14:textId="7D6B559C" w:rsidR="006F5034" w:rsidRDefault="006F5034" w:rsidP="006F5034">
      <w:pPr>
        <w:pStyle w:val="ListParagraph"/>
        <w:numPr>
          <w:ilvl w:val="2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Gentiles, and only a few of the Jews, will believe, 9:25-33.</w:t>
      </w:r>
    </w:p>
    <w:p w14:paraId="19C0409A" w14:textId="547EE512" w:rsidR="006F5034" w:rsidRDefault="006F5034" w:rsidP="006F5034">
      <w:pPr>
        <w:pStyle w:val="ListParagraph"/>
        <w:numPr>
          <w:ilvl w:val="1"/>
          <w:numId w:val="34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God has made it easy for all who</w:t>
      </w:r>
      <w:r w:rsidR="00C6477C">
        <w:rPr>
          <w:rFonts w:asciiTheme="majorBidi" w:hAnsiTheme="majorBidi" w:cstheme="majorBidi"/>
        </w:rPr>
        <w:t xml:space="preserve"> desire salvation </w:t>
      </w:r>
      <w:r>
        <w:rPr>
          <w:rFonts w:asciiTheme="majorBidi" w:hAnsiTheme="majorBidi" w:cstheme="majorBidi"/>
        </w:rPr>
        <w:t>to be delivered, 10:1-21.</w:t>
      </w:r>
    </w:p>
    <w:p w14:paraId="2FE0D8B7" w14:textId="5AC02D2D" w:rsidR="00D64ABE" w:rsidRPr="006F5034" w:rsidRDefault="006F5034" w:rsidP="00CE6FE9">
      <w:pPr>
        <w:pStyle w:val="ListParagraph"/>
        <w:numPr>
          <w:ilvl w:val="1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6F5034">
        <w:rPr>
          <w:rFonts w:asciiTheme="majorBidi" w:hAnsiTheme="majorBidi" w:cstheme="majorBidi"/>
        </w:rPr>
        <w:t xml:space="preserve">Israel is temporarily in a fog of unbelief, but all </w:t>
      </w:r>
      <w:r w:rsidR="00C6477C">
        <w:rPr>
          <w:rFonts w:asciiTheme="majorBidi" w:hAnsiTheme="majorBidi" w:cstheme="majorBidi"/>
        </w:rPr>
        <w:t xml:space="preserve">of the Remnant </w:t>
      </w:r>
      <w:r w:rsidRPr="006F5034">
        <w:rPr>
          <w:rFonts w:asciiTheme="majorBidi" w:hAnsiTheme="majorBidi" w:cstheme="majorBidi"/>
        </w:rPr>
        <w:t>will believe, 11:1-36.</w:t>
      </w:r>
    </w:p>
    <w:p w14:paraId="5FE6AB49" w14:textId="77777777" w:rsidR="00D64ABE" w:rsidRPr="006F5034" w:rsidRDefault="00D64ABE" w:rsidP="006F5034">
      <w:pPr>
        <w:pStyle w:val="ListParagraph"/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</w:rPr>
      </w:pPr>
      <w:bookmarkStart w:id="0" w:name="_Hlk40432783"/>
      <w:r w:rsidRPr="006F5034">
        <w:rPr>
          <w:rFonts w:asciiTheme="majorBidi" w:hAnsiTheme="majorBidi" w:cstheme="majorBidi"/>
        </w:rPr>
        <w:t>God’s grace in justification and the Spirit’s righteous empowerment provide the foundation for living a life pleasing to the Lord, 12:1-15:13.</w:t>
      </w:r>
    </w:p>
    <w:p w14:paraId="2F460250" w14:textId="77777777" w:rsidR="00D64ABE" w:rsidRPr="006F5034" w:rsidRDefault="000D79A3" w:rsidP="006F5034">
      <w:pPr>
        <w:pStyle w:val="ListParagraph"/>
        <w:numPr>
          <w:ilvl w:val="1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6F5034">
        <w:rPr>
          <w:rFonts w:asciiTheme="majorBidi" w:hAnsiTheme="majorBidi" w:cstheme="majorBidi"/>
        </w:rPr>
        <w:t>Grace has been given to us that we might minister to the body of Christ, 12:1-21.</w:t>
      </w:r>
    </w:p>
    <w:p w14:paraId="2BD37508" w14:textId="77777777" w:rsidR="000D79A3" w:rsidRPr="006F5034" w:rsidRDefault="000D79A3" w:rsidP="006F5034">
      <w:pPr>
        <w:pStyle w:val="ListParagraph"/>
        <w:numPr>
          <w:ilvl w:val="1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6F5034">
        <w:rPr>
          <w:rFonts w:asciiTheme="majorBidi" w:hAnsiTheme="majorBidi" w:cstheme="majorBidi"/>
        </w:rPr>
        <w:t>Grace living submits to the government and one’s neighbors, 13:1-14.</w:t>
      </w:r>
    </w:p>
    <w:p w14:paraId="6A3D6FB2" w14:textId="60DF49D7" w:rsidR="000D79A3" w:rsidRPr="006F5034" w:rsidRDefault="000D79A3" w:rsidP="006F5034">
      <w:pPr>
        <w:pStyle w:val="ListParagraph"/>
        <w:numPr>
          <w:ilvl w:val="1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6F5034">
        <w:rPr>
          <w:rFonts w:asciiTheme="majorBidi" w:hAnsiTheme="majorBidi" w:cstheme="majorBidi"/>
        </w:rPr>
        <w:t>Grace living minimizes insignificant differences and pursues peace with others in the church, 14:1-</w:t>
      </w:r>
      <w:r w:rsidR="00E923DA" w:rsidRPr="006F5034">
        <w:rPr>
          <w:rFonts w:asciiTheme="majorBidi" w:hAnsiTheme="majorBidi" w:cstheme="majorBidi"/>
        </w:rPr>
        <w:t xml:space="preserve"> 15:</w:t>
      </w:r>
      <w:r w:rsidR="00167895" w:rsidRPr="006F5034">
        <w:rPr>
          <w:rFonts w:asciiTheme="majorBidi" w:hAnsiTheme="majorBidi" w:cstheme="majorBidi"/>
        </w:rPr>
        <w:t>13</w:t>
      </w:r>
    </w:p>
    <w:p w14:paraId="38271F80" w14:textId="4FF03190" w:rsidR="00167895" w:rsidRPr="0023185D" w:rsidRDefault="00167895" w:rsidP="0023185D">
      <w:pPr>
        <w:pStyle w:val="ListParagraph"/>
        <w:numPr>
          <w:ilvl w:val="2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23185D">
        <w:rPr>
          <w:rFonts w:asciiTheme="majorBidi" w:hAnsiTheme="majorBidi" w:cstheme="majorBidi"/>
        </w:rPr>
        <w:t>The Judgement Seat of Christ includes disagreements over doubtful things, 14:1-12.</w:t>
      </w:r>
    </w:p>
    <w:p w14:paraId="7120B80F" w14:textId="461ECA6A" w:rsidR="00167895" w:rsidRPr="0023185D" w:rsidRDefault="00167895" w:rsidP="0023185D">
      <w:pPr>
        <w:pStyle w:val="ListParagraph"/>
        <w:numPr>
          <w:ilvl w:val="2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23185D">
        <w:rPr>
          <w:rFonts w:asciiTheme="majorBidi" w:hAnsiTheme="majorBidi" w:cstheme="majorBidi"/>
        </w:rPr>
        <w:t>Behave in a way that does not damage the weaker brother, 14:13-15:6.</w:t>
      </w:r>
    </w:p>
    <w:p w14:paraId="51F2FDEB" w14:textId="3B7BAEFA" w:rsidR="000D79A3" w:rsidRDefault="000D79A3" w:rsidP="0023185D">
      <w:pPr>
        <w:pStyle w:val="ListParagraph"/>
        <w:numPr>
          <w:ilvl w:val="2"/>
          <w:numId w:val="34"/>
        </w:numPr>
        <w:spacing w:after="0" w:line="240" w:lineRule="auto"/>
        <w:rPr>
          <w:rFonts w:asciiTheme="majorBidi" w:hAnsiTheme="majorBidi" w:cstheme="majorBidi"/>
        </w:rPr>
      </w:pPr>
      <w:r w:rsidRPr="0023185D">
        <w:rPr>
          <w:rFonts w:asciiTheme="majorBidi" w:hAnsiTheme="majorBidi" w:cstheme="majorBidi"/>
        </w:rPr>
        <w:t xml:space="preserve">Jesus </w:t>
      </w:r>
      <w:r w:rsidR="00167895" w:rsidRPr="0023185D">
        <w:rPr>
          <w:rFonts w:asciiTheme="majorBidi" w:hAnsiTheme="majorBidi" w:cstheme="majorBidi"/>
        </w:rPr>
        <w:t>receives</w:t>
      </w:r>
      <w:r w:rsidR="00E923DA" w:rsidRPr="0023185D">
        <w:rPr>
          <w:rFonts w:asciiTheme="majorBidi" w:hAnsiTheme="majorBidi" w:cstheme="majorBidi"/>
        </w:rPr>
        <w:t xml:space="preserve"> both</w:t>
      </w:r>
      <w:r w:rsidRPr="0023185D">
        <w:rPr>
          <w:rFonts w:asciiTheme="majorBidi" w:hAnsiTheme="majorBidi" w:cstheme="majorBidi"/>
        </w:rPr>
        <w:t xml:space="preserve"> Jews and Gentiles to himself,</w:t>
      </w:r>
      <w:r w:rsidR="00167895" w:rsidRPr="0023185D">
        <w:rPr>
          <w:rFonts w:asciiTheme="majorBidi" w:hAnsiTheme="majorBidi" w:cstheme="majorBidi"/>
        </w:rPr>
        <w:t xml:space="preserve"> and so should we,</w:t>
      </w:r>
      <w:r w:rsidRPr="0023185D">
        <w:rPr>
          <w:rFonts w:asciiTheme="majorBidi" w:hAnsiTheme="majorBidi" w:cstheme="majorBidi"/>
        </w:rPr>
        <w:t xml:space="preserve"> 15:</w:t>
      </w:r>
      <w:r w:rsidR="00E923DA" w:rsidRPr="0023185D">
        <w:rPr>
          <w:rFonts w:asciiTheme="majorBidi" w:hAnsiTheme="majorBidi" w:cstheme="majorBidi"/>
        </w:rPr>
        <w:t>7</w:t>
      </w:r>
      <w:r w:rsidRPr="0023185D">
        <w:rPr>
          <w:rFonts w:asciiTheme="majorBidi" w:hAnsiTheme="majorBidi" w:cstheme="majorBidi"/>
        </w:rPr>
        <w:t>-13.</w:t>
      </w:r>
    </w:p>
    <w:p w14:paraId="5DBB7C11" w14:textId="77777777" w:rsidR="0023185D" w:rsidRDefault="0023185D" w:rsidP="0023185D">
      <w:pPr>
        <w:pStyle w:val="NoSpacing"/>
        <w:numPr>
          <w:ilvl w:val="0"/>
          <w:numId w:val="34"/>
        </w:numPr>
      </w:pPr>
      <w:r>
        <w:t>Concluding remarks: Paul hopes to come to Rome on his way to Spain (15:14-33); he passes along greetings of other believers and churches (16:1-24), and concludes with a benediction (16:25-27).</w:t>
      </w:r>
    </w:p>
    <w:p w14:paraId="12F47607" w14:textId="77777777" w:rsidR="0023185D" w:rsidRPr="0023185D" w:rsidRDefault="0023185D" w:rsidP="0023185D">
      <w:pPr>
        <w:spacing w:after="0" w:line="240" w:lineRule="auto"/>
        <w:ind w:left="-720"/>
        <w:rPr>
          <w:rFonts w:asciiTheme="majorBidi" w:hAnsiTheme="majorBidi" w:cstheme="majorBidi"/>
        </w:rPr>
      </w:pPr>
    </w:p>
    <w:p w14:paraId="7203FCAE" w14:textId="0B8EE8DA" w:rsidR="000D79A3" w:rsidRDefault="000D79A3" w:rsidP="000D79A3">
      <w:pPr>
        <w:spacing w:after="0" w:line="240" w:lineRule="auto"/>
        <w:rPr>
          <w:rFonts w:asciiTheme="majorBidi" w:hAnsiTheme="majorBidi" w:cstheme="majorBidi"/>
        </w:rPr>
      </w:pPr>
    </w:p>
    <w:p w14:paraId="04879DFC" w14:textId="58398570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31C0FE51" w14:textId="7465926F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77AF960C" w14:textId="03855F2C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2EA0D14F" w14:textId="11335B9D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7A4E4F0D" w14:textId="122B322B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1E30491B" w14:textId="00AC3EDF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6AF4A396" w14:textId="56A403B1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6D2E7EA1" w14:textId="71AAC352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p w14:paraId="3F1403C5" w14:textId="77777777" w:rsidR="0023185D" w:rsidRDefault="0023185D" w:rsidP="000D79A3">
      <w:pPr>
        <w:spacing w:after="0" w:line="240" w:lineRule="auto"/>
        <w:rPr>
          <w:rFonts w:asciiTheme="majorBidi" w:hAnsiTheme="majorBidi" w:cstheme="majorBidi"/>
        </w:rPr>
      </w:pPr>
    </w:p>
    <w:bookmarkEnd w:id="0"/>
    <w:p w14:paraId="3E0B85BD" w14:textId="0C4C1482" w:rsidR="00A60845" w:rsidRDefault="00A60845" w:rsidP="00167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168537" w14:textId="77777777" w:rsidR="00C86A08" w:rsidRPr="00167895" w:rsidRDefault="00C86A08" w:rsidP="00C86A08">
      <w:pPr>
        <w:jc w:val="center"/>
        <w:rPr>
          <w:b/>
          <w:sz w:val="24"/>
          <w:szCs w:val="24"/>
        </w:rPr>
      </w:pPr>
      <w:r w:rsidRPr="00167895">
        <w:rPr>
          <w:rFonts w:ascii="Times New Roman" w:hAnsi="Times New Roman" w:cs="Times New Roman"/>
          <w:b/>
          <w:sz w:val="24"/>
          <w:szCs w:val="24"/>
        </w:rPr>
        <w:t>Places and Dates of the Writings of the New Testament Epistles</w:t>
      </w:r>
    </w:p>
    <w:tbl>
      <w:tblPr>
        <w:tblStyle w:val="TableGrid"/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689"/>
        <w:gridCol w:w="1671"/>
        <w:gridCol w:w="1759"/>
        <w:gridCol w:w="3325"/>
      </w:tblGrid>
      <w:tr w:rsidR="00C86A08" w:rsidRPr="00CF4987" w14:paraId="4396DB4A" w14:textId="77777777" w:rsidTr="00167895">
        <w:trPr>
          <w:trHeight w:val="488"/>
        </w:trPr>
        <w:tc>
          <w:tcPr>
            <w:tcW w:w="1689" w:type="dxa"/>
          </w:tcPr>
          <w:p w14:paraId="0A017BDB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  <w:b/>
              </w:rPr>
              <w:t>Decade</w:t>
            </w:r>
          </w:p>
          <w:p w14:paraId="75F9311C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3DDF3FB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  <w:b/>
              </w:rPr>
              <w:t>Books</w:t>
            </w:r>
          </w:p>
          <w:p w14:paraId="24E5EB48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237FEFD1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  <w:b/>
              </w:rPr>
              <w:t>Places</w:t>
            </w:r>
          </w:p>
          <w:p w14:paraId="7E1FE36A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28644615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  <w:b/>
              </w:rPr>
              <w:t>Dates</w:t>
            </w:r>
          </w:p>
          <w:p w14:paraId="29E14EC0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08" w:rsidRPr="00CF4987" w14:paraId="4BE479A3" w14:textId="77777777" w:rsidTr="00167895">
        <w:trPr>
          <w:trHeight w:val="281"/>
        </w:trPr>
        <w:tc>
          <w:tcPr>
            <w:tcW w:w="1689" w:type="dxa"/>
          </w:tcPr>
          <w:p w14:paraId="0D6780ED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A.D. 40–49</w:t>
            </w:r>
          </w:p>
        </w:tc>
        <w:tc>
          <w:tcPr>
            <w:tcW w:w="1671" w:type="dxa"/>
          </w:tcPr>
          <w:p w14:paraId="56C9ABCF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James</w:t>
            </w:r>
          </w:p>
        </w:tc>
        <w:tc>
          <w:tcPr>
            <w:tcW w:w="1759" w:type="dxa"/>
          </w:tcPr>
          <w:p w14:paraId="11D10862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Jerusalem</w:t>
            </w:r>
          </w:p>
        </w:tc>
        <w:tc>
          <w:tcPr>
            <w:tcW w:w="3325" w:type="dxa"/>
          </w:tcPr>
          <w:p w14:paraId="1B3B4576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A.D. 45–48</w:t>
            </w:r>
          </w:p>
        </w:tc>
      </w:tr>
      <w:tr w:rsidR="00C86A08" w:rsidRPr="00CF4987" w14:paraId="2A1CF5CA" w14:textId="77777777" w:rsidTr="00167895">
        <w:trPr>
          <w:trHeight w:val="577"/>
        </w:trPr>
        <w:tc>
          <w:tcPr>
            <w:tcW w:w="1689" w:type="dxa"/>
          </w:tcPr>
          <w:p w14:paraId="171B3DC8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B1DD3C9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2528D5B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Galatians</w:t>
            </w:r>
          </w:p>
          <w:p w14:paraId="04058C8B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63ED519D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Antioch of Syria</w:t>
            </w:r>
          </w:p>
          <w:p w14:paraId="2260D8D1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786A892A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40–49, after Paul’s first missionary journey</w:t>
            </w:r>
          </w:p>
        </w:tc>
      </w:tr>
      <w:tr w:rsidR="00C86A08" w:rsidRPr="00CF4987" w14:paraId="5D1BCB88" w14:textId="77777777" w:rsidTr="00167895">
        <w:trPr>
          <w:trHeight w:val="563"/>
        </w:trPr>
        <w:tc>
          <w:tcPr>
            <w:tcW w:w="1689" w:type="dxa"/>
          </w:tcPr>
          <w:p w14:paraId="340DFEA8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50–59</w:t>
            </w:r>
          </w:p>
          <w:p w14:paraId="17EF3652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4F039F9C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1 Thessalonians</w:t>
            </w:r>
          </w:p>
          <w:p w14:paraId="590F09DF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30FAA6ED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Corinth</w:t>
            </w:r>
          </w:p>
          <w:p w14:paraId="1AE28FB1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00AF389F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50–54, in Paul’s second missionary journey</w:t>
            </w:r>
          </w:p>
        </w:tc>
      </w:tr>
      <w:tr w:rsidR="00C86A08" w:rsidRPr="00CF4987" w14:paraId="155B1355" w14:textId="77777777" w:rsidTr="00167895">
        <w:trPr>
          <w:trHeight w:val="577"/>
        </w:trPr>
        <w:tc>
          <w:tcPr>
            <w:tcW w:w="1689" w:type="dxa"/>
          </w:tcPr>
          <w:p w14:paraId="0E5BFAD9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9B31EFC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7B8A6AD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2 Thessalonians</w:t>
            </w:r>
          </w:p>
          <w:p w14:paraId="31DF21E0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8235ED9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Corinth</w:t>
            </w:r>
          </w:p>
          <w:p w14:paraId="5FFA87D1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293946BA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50–54, in Paul’s second missionary journey</w:t>
            </w:r>
          </w:p>
        </w:tc>
      </w:tr>
      <w:tr w:rsidR="00C86A08" w:rsidRPr="00CF4987" w14:paraId="322BE3D8" w14:textId="77777777" w:rsidTr="00167895">
        <w:trPr>
          <w:trHeight w:val="563"/>
        </w:trPr>
        <w:tc>
          <w:tcPr>
            <w:tcW w:w="1689" w:type="dxa"/>
          </w:tcPr>
          <w:p w14:paraId="62015B79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91F289E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B66124F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1 Corinthians</w:t>
            </w:r>
          </w:p>
          <w:p w14:paraId="45D94388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3B00825C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Ephesus</w:t>
            </w:r>
          </w:p>
          <w:p w14:paraId="1D95E7FA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1AF13285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About 56, in Paul’s third missionary journey</w:t>
            </w:r>
          </w:p>
        </w:tc>
      </w:tr>
      <w:tr w:rsidR="00C86A08" w:rsidRPr="00CF4987" w14:paraId="58DEC616" w14:textId="77777777" w:rsidTr="00167895">
        <w:trPr>
          <w:trHeight w:val="577"/>
        </w:trPr>
        <w:tc>
          <w:tcPr>
            <w:tcW w:w="1689" w:type="dxa"/>
          </w:tcPr>
          <w:p w14:paraId="58D0B2E7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96C352A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27405FA8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2 Corinthians</w:t>
            </w:r>
          </w:p>
          <w:p w14:paraId="6BA269E0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0C498E8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Macedonia</w:t>
            </w:r>
          </w:p>
          <w:p w14:paraId="212AD0BA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02963E40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About 56, in Paul’s third missionary journey</w:t>
            </w:r>
          </w:p>
        </w:tc>
      </w:tr>
      <w:tr w:rsidR="00C86A08" w:rsidRPr="00CF4987" w14:paraId="101A7758" w14:textId="77777777" w:rsidTr="00167895">
        <w:trPr>
          <w:trHeight w:val="563"/>
        </w:trPr>
        <w:tc>
          <w:tcPr>
            <w:tcW w:w="1689" w:type="dxa"/>
          </w:tcPr>
          <w:p w14:paraId="7562139B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971B71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6049AE4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Romans</w:t>
            </w:r>
          </w:p>
          <w:p w14:paraId="49B6D254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05AFAE85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Corinth</w:t>
            </w:r>
          </w:p>
          <w:p w14:paraId="3FC6DB2A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4AD2B299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57, in Paul’s third missionary journey</w:t>
            </w:r>
          </w:p>
        </w:tc>
      </w:tr>
      <w:tr w:rsidR="00C86A08" w:rsidRPr="00CF4987" w14:paraId="0C18EB9A" w14:textId="77777777" w:rsidTr="00167895">
        <w:trPr>
          <w:trHeight w:val="281"/>
        </w:trPr>
        <w:tc>
          <w:tcPr>
            <w:tcW w:w="1689" w:type="dxa"/>
          </w:tcPr>
          <w:p w14:paraId="626123B0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60–69</w:t>
            </w:r>
          </w:p>
        </w:tc>
        <w:tc>
          <w:tcPr>
            <w:tcW w:w="1671" w:type="dxa"/>
          </w:tcPr>
          <w:p w14:paraId="43A30408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Ephesians</w:t>
            </w:r>
          </w:p>
        </w:tc>
        <w:tc>
          <w:tcPr>
            <w:tcW w:w="1759" w:type="dxa"/>
          </w:tcPr>
          <w:p w14:paraId="5FDE92BA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</w:t>
            </w:r>
          </w:p>
        </w:tc>
        <w:tc>
          <w:tcPr>
            <w:tcW w:w="3325" w:type="dxa"/>
          </w:tcPr>
          <w:p w14:paraId="78AFD204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60</w:t>
            </w:r>
          </w:p>
        </w:tc>
      </w:tr>
      <w:tr w:rsidR="00C86A08" w:rsidRPr="00CF4987" w14:paraId="3CBEAE74" w14:textId="77777777" w:rsidTr="00167895">
        <w:trPr>
          <w:trHeight w:val="281"/>
        </w:trPr>
        <w:tc>
          <w:tcPr>
            <w:tcW w:w="1689" w:type="dxa"/>
          </w:tcPr>
          <w:p w14:paraId="33132812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0F50C11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1 John</w:t>
            </w:r>
          </w:p>
        </w:tc>
        <w:tc>
          <w:tcPr>
            <w:tcW w:w="1759" w:type="dxa"/>
          </w:tcPr>
          <w:p w14:paraId="53DC8D44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Ephesus</w:t>
            </w:r>
          </w:p>
        </w:tc>
        <w:tc>
          <w:tcPr>
            <w:tcW w:w="3325" w:type="dxa"/>
          </w:tcPr>
          <w:p w14:paraId="4F24402C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60–65</w:t>
            </w:r>
          </w:p>
        </w:tc>
      </w:tr>
      <w:tr w:rsidR="00C86A08" w:rsidRPr="00CF4987" w14:paraId="5AEDC68E" w14:textId="77777777" w:rsidTr="00167895">
        <w:trPr>
          <w:trHeight w:val="281"/>
        </w:trPr>
        <w:tc>
          <w:tcPr>
            <w:tcW w:w="1689" w:type="dxa"/>
          </w:tcPr>
          <w:p w14:paraId="7A376324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39E35576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2 John</w:t>
            </w:r>
          </w:p>
        </w:tc>
        <w:tc>
          <w:tcPr>
            <w:tcW w:w="1759" w:type="dxa"/>
          </w:tcPr>
          <w:p w14:paraId="61527398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Ephesus</w:t>
            </w:r>
          </w:p>
        </w:tc>
        <w:tc>
          <w:tcPr>
            <w:tcW w:w="3325" w:type="dxa"/>
          </w:tcPr>
          <w:p w14:paraId="3329855B" w14:textId="1991F816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Early 60s</w:t>
            </w:r>
          </w:p>
        </w:tc>
      </w:tr>
      <w:tr w:rsidR="00C86A08" w:rsidRPr="00CF4987" w14:paraId="3E2D47FF" w14:textId="77777777" w:rsidTr="00167895">
        <w:trPr>
          <w:trHeight w:val="281"/>
        </w:trPr>
        <w:tc>
          <w:tcPr>
            <w:tcW w:w="1689" w:type="dxa"/>
          </w:tcPr>
          <w:p w14:paraId="6EE70EE6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31337B2D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3 John</w:t>
            </w:r>
          </w:p>
        </w:tc>
        <w:tc>
          <w:tcPr>
            <w:tcW w:w="1759" w:type="dxa"/>
          </w:tcPr>
          <w:p w14:paraId="1F093D4C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Ephesus</w:t>
            </w:r>
          </w:p>
        </w:tc>
        <w:tc>
          <w:tcPr>
            <w:tcW w:w="3325" w:type="dxa"/>
          </w:tcPr>
          <w:p w14:paraId="40815F2E" w14:textId="0FE71B38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Early 60s</w:t>
            </w:r>
          </w:p>
        </w:tc>
      </w:tr>
      <w:tr w:rsidR="00C86A08" w:rsidRPr="00CF4987" w14:paraId="5695AA7E" w14:textId="77777777" w:rsidTr="00167895">
        <w:trPr>
          <w:trHeight w:val="296"/>
        </w:trPr>
        <w:tc>
          <w:tcPr>
            <w:tcW w:w="1689" w:type="dxa"/>
          </w:tcPr>
          <w:p w14:paraId="6A2FC4C5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459CB02E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Philippians</w:t>
            </w:r>
          </w:p>
        </w:tc>
        <w:tc>
          <w:tcPr>
            <w:tcW w:w="1759" w:type="dxa"/>
          </w:tcPr>
          <w:p w14:paraId="271F9CCB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</w:t>
            </w:r>
          </w:p>
        </w:tc>
        <w:tc>
          <w:tcPr>
            <w:tcW w:w="3325" w:type="dxa"/>
          </w:tcPr>
          <w:p w14:paraId="02CEE78C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60–61</w:t>
            </w:r>
          </w:p>
        </w:tc>
      </w:tr>
      <w:tr w:rsidR="00C86A08" w:rsidRPr="00CF4987" w14:paraId="28E81973" w14:textId="77777777" w:rsidTr="00167895">
        <w:trPr>
          <w:trHeight w:val="281"/>
        </w:trPr>
        <w:tc>
          <w:tcPr>
            <w:tcW w:w="1689" w:type="dxa"/>
          </w:tcPr>
          <w:p w14:paraId="46BA8C4D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DA53F5C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Colossians</w:t>
            </w:r>
          </w:p>
        </w:tc>
        <w:tc>
          <w:tcPr>
            <w:tcW w:w="1759" w:type="dxa"/>
          </w:tcPr>
          <w:p w14:paraId="477CA103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</w:t>
            </w:r>
          </w:p>
        </w:tc>
        <w:tc>
          <w:tcPr>
            <w:tcW w:w="3325" w:type="dxa"/>
          </w:tcPr>
          <w:p w14:paraId="1339BBD8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60–62</w:t>
            </w:r>
          </w:p>
        </w:tc>
      </w:tr>
      <w:tr w:rsidR="00C86A08" w:rsidRPr="00CF4987" w14:paraId="2DF20374" w14:textId="77777777" w:rsidTr="00167895">
        <w:trPr>
          <w:trHeight w:val="281"/>
        </w:trPr>
        <w:tc>
          <w:tcPr>
            <w:tcW w:w="1689" w:type="dxa"/>
          </w:tcPr>
          <w:p w14:paraId="6B250B4B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72F3722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Philemon</w:t>
            </w:r>
          </w:p>
        </w:tc>
        <w:tc>
          <w:tcPr>
            <w:tcW w:w="1759" w:type="dxa"/>
          </w:tcPr>
          <w:p w14:paraId="3962C2A2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</w:t>
            </w:r>
          </w:p>
        </w:tc>
        <w:tc>
          <w:tcPr>
            <w:tcW w:w="3325" w:type="dxa"/>
          </w:tcPr>
          <w:p w14:paraId="1CD18BEF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60–62</w:t>
            </w:r>
          </w:p>
        </w:tc>
      </w:tr>
      <w:tr w:rsidR="00C86A08" w:rsidRPr="00CF4987" w14:paraId="7CF81519" w14:textId="77777777" w:rsidTr="00167895">
        <w:trPr>
          <w:trHeight w:val="281"/>
        </w:trPr>
        <w:tc>
          <w:tcPr>
            <w:tcW w:w="1689" w:type="dxa"/>
          </w:tcPr>
          <w:p w14:paraId="387B3263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948D11C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1 Timothy</w:t>
            </w:r>
          </w:p>
        </w:tc>
        <w:tc>
          <w:tcPr>
            <w:tcW w:w="1759" w:type="dxa"/>
          </w:tcPr>
          <w:p w14:paraId="298B1483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Macedonia?</w:t>
            </w:r>
          </w:p>
        </w:tc>
        <w:tc>
          <w:tcPr>
            <w:tcW w:w="3325" w:type="dxa"/>
          </w:tcPr>
          <w:p w14:paraId="579EAA4C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63–66</w:t>
            </w:r>
          </w:p>
        </w:tc>
      </w:tr>
      <w:tr w:rsidR="00C86A08" w:rsidRPr="00CF4987" w14:paraId="4073BEA2" w14:textId="77777777" w:rsidTr="00167895">
        <w:trPr>
          <w:trHeight w:val="281"/>
        </w:trPr>
        <w:tc>
          <w:tcPr>
            <w:tcW w:w="1689" w:type="dxa"/>
          </w:tcPr>
          <w:p w14:paraId="544E6B13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5F6E8FA4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Titus</w:t>
            </w:r>
          </w:p>
        </w:tc>
        <w:tc>
          <w:tcPr>
            <w:tcW w:w="1759" w:type="dxa"/>
          </w:tcPr>
          <w:p w14:paraId="2F897B51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Macedonia?</w:t>
            </w:r>
          </w:p>
        </w:tc>
        <w:tc>
          <w:tcPr>
            <w:tcW w:w="3325" w:type="dxa"/>
          </w:tcPr>
          <w:p w14:paraId="484CAC1D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63–66</w:t>
            </w:r>
          </w:p>
        </w:tc>
      </w:tr>
      <w:tr w:rsidR="00C86A08" w:rsidRPr="00CF4987" w14:paraId="40719A94" w14:textId="77777777" w:rsidTr="00167895">
        <w:trPr>
          <w:trHeight w:val="281"/>
        </w:trPr>
        <w:tc>
          <w:tcPr>
            <w:tcW w:w="1689" w:type="dxa"/>
          </w:tcPr>
          <w:p w14:paraId="33652E7C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4BB51886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1 Peter</w:t>
            </w:r>
          </w:p>
        </w:tc>
        <w:tc>
          <w:tcPr>
            <w:tcW w:w="1759" w:type="dxa"/>
          </w:tcPr>
          <w:p w14:paraId="7D7A9F79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Rome?</w:t>
            </w:r>
          </w:p>
        </w:tc>
        <w:tc>
          <w:tcPr>
            <w:tcW w:w="3325" w:type="dxa"/>
          </w:tcPr>
          <w:p w14:paraId="6444DA25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64</w:t>
            </w:r>
          </w:p>
        </w:tc>
      </w:tr>
      <w:tr w:rsidR="00C86A08" w:rsidRPr="00CF4987" w14:paraId="7E21629E" w14:textId="77777777" w:rsidTr="00167895">
        <w:trPr>
          <w:trHeight w:val="281"/>
        </w:trPr>
        <w:tc>
          <w:tcPr>
            <w:tcW w:w="1689" w:type="dxa"/>
          </w:tcPr>
          <w:p w14:paraId="6143F123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686AF99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Jude</w:t>
            </w:r>
          </w:p>
        </w:tc>
        <w:tc>
          <w:tcPr>
            <w:tcW w:w="1759" w:type="dxa"/>
          </w:tcPr>
          <w:p w14:paraId="780B38ED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325" w:type="dxa"/>
          </w:tcPr>
          <w:p w14:paraId="6193CCB7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67–80</w:t>
            </w:r>
          </w:p>
        </w:tc>
      </w:tr>
      <w:tr w:rsidR="00C86A08" w:rsidRPr="00CF4987" w14:paraId="7465DEF2" w14:textId="77777777" w:rsidTr="00167895">
        <w:trPr>
          <w:trHeight w:val="281"/>
        </w:trPr>
        <w:tc>
          <w:tcPr>
            <w:tcW w:w="1689" w:type="dxa"/>
          </w:tcPr>
          <w:p w14:paraId="61D134F1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31E8F0F8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2 Timothy</w:t>
            </w:r>
          </w:p>
        </w:tc>
        <w:tc>
          <w:tcPr>
            <w:tcW w:w="1759" w:type="dxa"/>
          </w:tcPr>
          <w:p w14:paraId="507137C1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</w:t>
            </w:r>
          </w:p>
        </w:tc>
        <w:tc>
          <w:tcPr>
            <w:tcW w:w="3325" w:type="dxa"/>
          </w:tcPr>
          <w:p w14:paraId="2274C2E7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67</w:t>
            </w:r>
          </w:p>
        </w:tc>
      </w:tr>
      <w:tr w:rsidR="00C86A08" w:rsidRPr="00CF4987" w14:paraId="1B9E1094" w14:textId="77777777" w:rsidTr="00167895">
        <w:trPr>
          <w:trHeight w:val="281"/>
        </w:trPr>
        <w:tc>
          <w:tcPr>
            <w:tcW w:w="1689" w:type="dxa"/>
          </w:tcPr>
          <w:p w14:paraId="0326F19D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80FC5B7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2 Peter</w:t>
            </w:r>
          </w:p>
        </w:tc>
        <w:tc>
          <w:tcPr>
            <w:tcW w:w="1759" w:type="dxa"/>
          </w:tcPr>
          <w:p w14:paraId="6020C15E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Rome?</w:t>
            </w:r>
          </w:p>
        </w:tc>
        <w:tc>
          <w:tcPr>
            <w:tcW w:w="3325" w:type="dxa"/>
          </w:tcPr>
          <w:p w14:paraId="63A71358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67–68</w:t>
            </w:r>
          </w:p>
        </w:tc>
      </w:tr>
      <w:tr w:rsidR="00C86A08" w:rsidRPr="00CF4987" w14:paraId="107CB8FA" w14:textId="77777777" w:rsidTr="00167895">
        <w:trPr>
          <w:trHeight w:val="281"/>
        </w:trPr>
        <w:tc>
          <w:tcPr>
            <w:tcW w:w="1689" w:type="dxa"/>
          </w:tcPr>
          <w:p w14:paraId="19EED00A" w14:textId="77777777" w:rsidR="00C86A08" w:rsidRPr="00CF4987" w:rsidRDefault="00C86A08" w:rsidP="003F3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9AFD40A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Hebrews</w:t>
            </w:r>
          </w:p>
        </w:tc>
        <w:tc>
          <w:tcPr>
            <w:tcW w:w="1759" w:type="dxa"/>
          </w:tcPr>
          <w:p w14:paraId="69667D9D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325" w:type="dxa"/>
          </w:tcPr>
          <w:p w14:paraId="1BEDE527" w14:textId="77777777" w:rsidR="00C86A08" w:rsidRPr="00CF4987" w:rsidRDefault="00C86A08" w:rsidP="003F30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4987">
              <w:rPr>
                <w:rFonts w:ascii="Times New Roman" w:hAnsi="Times New Roman" w:cs="Times New Roman"/>
              </w:rPr>
              <w:t>68–69</w:t>
            </w:r>
          </w:p>
        </w:tc>
      </w:tr>
    </w:tbl>
    <w:p w14:paraId="1BD0FDF4" w14:textId="77777777" w:rsidR="00B94F3F" w:rsidRPr="00B94F3F" w:rsidRDefault="00B94F3F" w:rsidP="00167895">
      <w:pPr>
        <w:tabs>
          <w:tab w:val="right" w:pos="9360"/>
        </w:tabs>
        <w:spacing w:after="0" w:line="240" w:lineRule="auto"/>
        <w:rPr>
          <w:rFonts w:asciiTheme="majorBidi" w:hAnsiTheme="majorBidi" w:cstheme="majorBidi"/>
        </w:rPr>
      </w:pPr>
    </w:p>
    <w:sectPr w:rsidR="00B94F3F" w:rsidRPr="00B94F3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65E8" w14:textId="77777777" w:rsidR="00716129" w:rsidRDefault="00716129" w:rsidP="00542EC2">
      <w:r>
        <w:separator/>
      </w:r>
    </w:p>
  </w:endnote>
  <w:endnote w:type="continuationSeparator" w:id="0">
    <w:p w14:paraId="22B5C77A" w14:textId="77777777" w:rsidR="00716129" w:rsidRDefault="00716129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887F" w14:textId="77777777" w:rsidR="00716129" w:rsidRDefault="00716129" w:rsidP="00542EC2">
      <w:r>
        <w:separator/>
      </w:r>
    </w:p>
  </w:footnote>
  <w:footnote w:type="continuationSeparator" w:id="0">
    <w:p w14:paraId="74841B24" w14:textId="77777777" w:rsidR="00716129" w:rsidRDefault="00716129" w:rsidP="0054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A289D3" w14:textId="77777777"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8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8E3CE4" w14:textId="77777777"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722"/>
    <w:multiLevelType w:val="hybridMultilevel"/>
    <w:tmpl w:val="48881094"/>
    <w:lvl w:ilvl="0" w:tplc="743EDF06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417"/>
    <w:multiLevelType w:val="hybridMultilevel"/>
    <w:tmpl w:val="D09CAAB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E1131B"/>
    <w:multiLevelType w:val="hybridMultilevel"/>
    <w:tmpl w:val="0A269AB0"/>
    <w:lvl w:ilvl="0" w:tplc="4E9898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05D7"/>
    <w:multiLevelType w:val="hybridMultilevel"/>
    <w:tmpl w:val="41AEFB10"/>
    <w:lvl w:ilvl="0" w:tplc="1A044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E5208"/>
    <w:multiLevelType w:val="hybridMultilevel"/>
    <w:tmpl w:val="70109B8A"/>
    <w:lvl w:ilvl="0" w:tplc="BDC6D0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502127"/>
    <w:multiLevelType w:val="hybridMultilevel"/>
    <w:tmpl w:val="F468FF66"/>
    <w:lvl w:ilvl="0" w:tplc="6A8E66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2642ED"/>
    <w:multiLevelType w:val="hybridMultilevel"/>
    <w:tmpl w:val="A56EFF00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3D7DFB"/>
    <w:multiLevelType w:val="hybridMultilevel"/>
    <w:tmpl w:val="5C3E2B6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B0329"/>
    <w:multiLevelType w:val="hybridMultilevel"/>
    <w:tmpl w:val="514AF4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F5B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6D371F"/>
    <w:multiLevelType w:val="hybridMultilevel"/>
    <w:tmpl w:val="A3A6B14E"/>
    <w:lvl w:ilvl="0" w:tplc="09A68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10BFA"/>
    <w:multiLevelType w:val="hybridMultilevel"/>
    <w:tmpl w:val="7E2CEFD6"/>
    <w:lvl w:ilvl="0" w:tplc="77E02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DA3C79"/>
    <w:multiLevelType w:val="hybridMultilevel"/>
    <w:tmpl w:val="FAD09C00"/>
    <w:lvl w:ilvl="0" w:tplc="92A8B5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883592"/>
    <w:multiLevelType w:val="hybridMultilevel"/>
    <w:tmpl w:val="65586E30"/>
    <w:lvl w:ilvl="0" w:tplc="D05A96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2555C5"/>
    <w:multiLevelType w:val="hybridMultilevel"/>
    <w:tmpl w:val="BA7CC8D4"/>
    <w:lvl w:ilvl="0" w:tplc="5AB65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05905"/>
    <w:multiLevelType w:val="hybridMultilevel"/>
    <w:tmpl w:val="154A3816"/>
    <w:lvl w:ilvl="0" w:tplc="0A7697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A77AD"/>
    <w:multiLevelType w:val="hybridMultilevel"/>
    <w:tmpl w:val="8CA4D518"/>
    <w:lvl w:ilvl="0" w:tplc="E87EA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1"/>
  </w:num>
  <w:num w:numId="3">
    <w:abstractNumId w:val="22"/>
  </w:num>
  <w:num w:numId="4">
    <w:abstractNumId w:val="1"/>
  </w:num>
  <w:num w:numId="5">
    <w:abstractNumId w:val="4"/>
  </w:num>
  <w:num w:numId="6">
    <w:abstractNumId w:val="18"/>
  </w:num>
  <w:num w:numId="7">
    <w:abstractNumId w:val="2"/>
  </w:num>
  <w:num w:numId="8">
    <w:abstractNumId w:val="3"/>
  </w:num>
  <w:num w:numId="9">
    <w:abstractNumId w:val="9"/>
  </w:num>
  <w:num w:numId="10">
    <w:abstractNumId w:val="21"/>
  </w:num>
  <w:num w:numId="11">
    <w:abstractNumId w:val="11"/>
  </w:num>
  <w:num w:numId="12">
    <w:abstractNumId w:val="28"/>
  </w:num>
  <w:num w:numId="13">
    <w:abstractNumId w:val="13"/>
  </w:num>
  <w:num w:numId="14">
    <w:abstractNumId w:val="29"/>
  </w:num>
  <w:num w:numId="15">
    <w:abstractNumId w:val="32"/>
  </w:num>
  <w:num w:numId="16">
    <w:abstractNumId w:val="30"/>
  </w:num>
  <w:num w:numId="17">
    <w:abstractNumId w:val="24"/>
  </w:num>
  <w:num w:numId="18">
    <w:abstractNumId w:val="26"/>
  </w:num>
  <w:num w:numId="19">
    <w:abstractNumId w:val="16"/>
  </w:num>
  <w:num w:numId="20">
    <w:abstractNumId w:val="0"/>
  </w:num>
  <w:num w:numId="21">
    <w:abstractNumId w:val="15"/>
  </w:num>
  <w:num w:numId="22">
    <w:abstractNumId w:val="27"/>
  </w:num>
  <w:num w:numId="23">
    <w:abstractNumId w:val="17"/>
  </w:num>
  <w:num w:numId="24">
    <w:abstractNumId w:val="6"/>
  </w:num>
  <w:num w:numId="25">
    <w:abstractNumId w:val="12"/>
  </w:num>
  <w:num w:numId="26">
    <w:abstractNumId w:val="33"/>
  </w:num>
  <w:num w:numId="27">
    <w:abstractNumId w:val="14"/>
  </w:num>
  <w:num w:numId="28">
    <w:abstractNumId w:val="19"/>
  </w:num>
  <w:num w:numId="29">
    <w:abstractNumId w:val="25"/>
  </w:num>
  <w:num w:numId="30">
    <w:abstractNumId w:val="5"/>
  </w:num>
  <w:num w:numId="31">
    <w:abstractNumId w:val="20"/>
  </w:num>
  <w:num w:numId="32">
    <w:abstractNumId w:val="10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1E"/>
    <w:rsid w:val="000043A4"/>
    <w:rsid w:val="00067D26"/>
    <w:rsid w:val="0007047E"/>
    <w:rsid w:val="0007167D"/>
    <w:rsid w:val="00090A64"/>
    <w:rsid w:val="00092F52"/>
    <w:rsid w:val="000B228D"/>
    <w:rsid w:val="000D79A3"/>
    <w:rsid w:val="000E4BC2"/>
    <w:rsid w:val="0010754D"/>
    <w:rsid w:val="00154304"/>
    <w:rsid w:val="00160C87"/>
    <w:rsid w:val="00167895"/>
    <w:rsid w:val="00173B1E"/>
    <w:rsid w:val="00176269"/>
    <w:rsid w:val="0023185D"/>
    <w:rsid w:val="00281ACD"/>
    <w:rsid w:val="00321738"/>
    <w:rsid w:val="003C3BB3"/>
    <w:rsid w:val="003F135E"/>
    <w:rsid w:val="00423C18"/>
    <w:rsid w:val="00492500"/>
    <w:rsid w:val="004A5324"/>
    <w:rsid w:val="004A5E7E"/>
    <w:rsid w:val="004B40FD"/>
    <w:rsid w:val="004C7078"/>
    <w:rsid w:val="004D1B3C"/>
    <w:rsid w:val="004F033A"/>
    <w:rsid w:val="004F0429"/>
    <w:rsid w:val="00542EC2"/>
    <w:rsid w:val="0056617C"/>
    <w:rsid w:val="005726EB"/>
    <w:rsid w:val="00576AD1"/>
    <w:rsid w:val="005C70A2"/>
    <w:rsid w:val="006050EF"/>
    <w:rsid w:val="006073A8"/>
    <w:rsid w:val="006355D1"/>
    <w:rsid w:val="00653A78"/>
    <w:rsid w:val="0067335E"/>
    <w:rsid w:val="0069116B"/>
    <w:rsid w:val="006F5034"/>
    <w:rsid w:val="00716129"/>
    <w:rsid w:val="00792C5F"/>
    <w:rsid w:val="00800D85"/>
    <w:rsid w:val="008234B8"/>
    <w:rsid w:val="00873CF4"/>
    <w:rsid w:val="008E5830"/>
    <w:rsid w:val="008F1211"/>
    <w:rsid w:val="008F56A9"/>
    <w:rsid w:val="00953065"/>
    <w:rsid w:val="00975858"/>
    <w:rsid w:val="009A2A0D"/>
    <w:rsid w:val="00A24161"/>
    <w:rsid w:val="00A60845"/>
    <w:rsid w:val="00AB1BEA"/>
    <w:rsid w:val="00AD1438"/>
    <w:rsid w:val="00AD1A6E"/>
    <w:rsid w:val="00B94F3F"/>
    <w:rsid w:val="00BB25B6"/>
    <w:rsid w:val="00C33457"/>
    <w:rsid w:val="00C428FA"/>
    <w:rsid w:val="00C51035"/>
    <w:rsid w:val="00C6477C"/>
    <w:rsid w:val="00C669E5"/>
    <w:rsid w:val="00C75005"/>
    <w:rsid w:val="00C86A08"/>
    <w:rsid w:val="00D14084"/>
    <w:rsid w:val="00D2151A"/>
    <w:rsid w:val="00D2316F"/>
    <w:rsid w:val="00D56DE2"/>
    <w:rsid w:val="00D64ABE"/>
    <w:rsid w:val="00D76E56"/>
    <w:rsid w:val="00E83301"/>
    <w:rsid w:val="00E923DA"/>
    <w:rsid w:val="00EA097F"/>
    <w:rsid w:val="00EE31AA"/>
    <w:rsid w:val="00F05A37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799D"/>
  <w15:docId w15:val="{91C95022-E4BA-4FF8-BF1D-CAE25791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CE9A-AB79-44E4-A8CA-1175B87A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Marvin Effa</cp:lastModifiedBy>
  <cp:revision>2</cp:revision>
  <cp:lastPrinted>2020-06-09T14:15:00Z</cp:lastPrinted>
  <dcterms:created xsi:type="dcterms:W3CDTF">2020-06-09T15:22:00Z</dcterms:created>
  <dcterms:modified xsi:type="dcterms:W3CDTF">2020-06-09T15:22:00Z</dcterms:modified>
</cp:coreProperties>
</file>